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锐字工房云字库锐宋粗GBK" w:hAnsi="锐字工房云字库锐宋粗GBK" w:eastAsia="锐字工房云字库锐宋粗GBK" w:cs="锐字工房云字库锐宋粗GBK"/>
          <w:color w:val="FF0000"/>
          <w:sz w:val="72"/>
          <w:szCs w:val="144"/>
          <w:u w:val="single"/>
          <w:lang w:eastAsia="zh-CN"/>
        </w:rPr>
      </w:pPr>
      <w:r>
        <w:rPr>
          <w:rFonts w:hint="eastAsia" w:ascii="锐字工房云字库锐宋粗GBK" w:hAnsi="锐字工房云字库锐宋粗GBK" w:eastAsia="锐字工房云字库锐宋粗GBK" w:cs="锐字工房云字库锐宋粗GBK"/>
          <w:color w:val="FF0000"/>
          <w:sz w:val="72"/>
          <w:szCs w:val="144"/>
          <w:u w:val="single"/>
          <w:lang w:eastAsia="zh-CN"/>
        </w:rPr>
        <w:t>江西省计算机用户协会</w:t>
      </w:r>
    </w:p>
    <w:p>
      <w:pPr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 赣计用字（2019）96号</w:t>
      </w:r>
    </w:p>
    <w:p>
      <w:pPr>
        <w:ind w:firstLine="960" w:firstLineChars="3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对获得第二期信息系统工程施工运维能力等级个人证书公告的通</w:t>
      </w:r>
      <w:r>
        <w:rPr>
          <w:rFonts w:hint="eastAsia" w:ascii="黑体" w:hAnsi="黑体" w:eastAsia="黑体" w:cs="黑体"/>
          <w:sz w:val="32"/>
          <w:szCs w:val="32"/>
        </w:rPr>
        <w:t>知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各会员单位：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为进一步推进电子信息行业自律机制建设，营造公平、有序、诚信的电子信息行业环境，引导信息系统工程企业规范经营，规范信息系统工程建设项目管理，保证工程建设质量，为工程完工提供完整、可靠原始材料，提高工程投资效益，保证工程质量，促进电子信息行业持续健康发展，特开展“第二期信息系统工程施工运维能力评价”活动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经过二天培训个人将取得信息系统工程施工运维能力等级个人证书。详见附件。</w:t>
      </w:r>
    </w:p>
    <w:p>
      <w:pPr>
        <w:ind w:firstLine="90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3951605</wp:posOffset>
            </wp:positionH>
            <wp:positionV relativeFrom="paragraph">
              <wp:posOffset>650240</wp:posOffset>
            </wp:positionV>
            <wp:extent cx="1171575" cy="1181100"/>
            <wp:effectExtent l="0" t="0" r="9525" b="0"/>
            <wp:wrapNone/>
            <wp:docPr id="1" name="图片 1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0"/>
          <w:szCs w:val="30"/>
        </w:rPr>
        <w:t>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获得信息系统工程施工运维能力等级个人及时来协会领取相关证书</w:t>
      </w:r>
      <w:r>
        <w:rPr>
          <w:rFonts w:hint="eastAsia" w:ascii="仿宋" w:hAnsi="仿宋" w:eastAsia="仿宋" w:cs="仿宋"/>
          <w:sz w:val="30"/>
          <w:szCs w:val="30"/>
        </w:rPr>
        <w:t>，联系电话：0791-88032315。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江西省计算机用户协会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第二期信息系统工程咨询施工运维能力评价个人证书颁发名单</w:t>
      </w:r>
    </w:p>
    <w:bookmarkEnd w:id="0"/>
    <w:tbl>
      <w:tblPr>
        <w:tblpPr w:leftFromText="180" w:rightFromText="180" w:vertAnchor="text" w:horzAnchor="page" w:tblpX="799" w:tblpY="313"/>
        <w:tblOverlap w:val="never"/>
        <w:tblW w:w="106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4494"/>
        <w:gridCol w:w="1200"/>
        <w:gridCol w:w="750"/>
        <w:gridCol w:w="2137"/>
        <w:gridCol w:w="1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能力等级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江西省天轴通讯有限公司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JXGCYW2019-0153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江西省天轴通讯有限公司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JXGCYW2019-0154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江西省天轴通讯有限公司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JXGCYW2019-0155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江西省天轴通讯有限公司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刘祥海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JXGCYW2019-0156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江西省天轴通讯有限公司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叶伊陶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JXGCYW2019-0157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江西省天轴通讯有限公司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江传明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JXGCYW2019-0158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江西省天轴通讯有限公司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熊子龙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JXGCYW2019-0159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江西省天轴通讯有限公司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舒秀峰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江西省人民检察院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熊作平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浙江一舟电子科技股份有限公司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江西百胜智能科技股份有限公司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熊承友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江西百胜智能科技股份有限公司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胡卫岑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江西百胜智能科技股份有限公司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江西百胜智能科技股份有限公司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熊国超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江西百胜智能科技股份有限公司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江西百胜智能科技股份有限公司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王杏国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江西百胜智能科技股份有限公司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查磊明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JXGCYW2019-0169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江西百胜智能科技股份有限公司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熊麒超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中国井冈山干部学院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李井宁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中国井冈山干部学院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李园承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中国井冈山干部学院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颜定康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卢聪飞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JXGCYW2019-0179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彭世明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徐耀宗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罗展舒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江西武大扬帆科技有限公司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付蓬勃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徐义华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熊伟成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JXGCYW2019-0189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谭震球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熊兆雪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陈霄凌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况芳武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江西金恒生信息产业有限公司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江西省乐旭科技有限公司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南昌市微轲联信息技术有限公司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JXGCYW2019-0199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南昌市微轲联信息技术有限公司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南昌市微轲联信息技术有限公司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吴耀华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南昌市微轲联信息技术有限公司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南昌市微轲联信息技术有限公司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南昌市微轲联信息技术有限公司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南昌市微轲联信息技术有限公司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南昌市微轲联信息技术有限公司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吴康明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朱作聪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张连华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JXGCYW2019-0209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张震松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伍俊杰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魏远武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金伟道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刘元平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邓安安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江西省通信产业服务有限公司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吴联鑫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JXGCYW2019-0219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邹正纲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苏恒地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李付广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吴润伯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章永亮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肖三保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JXGCYW2019-0229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中国联合网络通信有限公司南昌市分公司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厦门云顶伟业信息技术有限公司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厦门云顶伟业信息技术有限公司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厦门云顶伟业信息技术有限公司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巩仔锋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厦门云顶伟业信息技术有限公司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江西源启智能科技有限公司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万徐倩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江西国控启迪云计算有限公司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江西国控启迪云计算有限公司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江西国控启迪云计算有限公司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舒立华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JXGCYW2019-0239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江西奥飞科技有限公司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江西奥飞科技有限公司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江西奥飞科技有限公司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江西奥飞科技有限公司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朱和平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江西奥飞科技有限公司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辛坤伟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江西奥飞科技有限公司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钟卫 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江西奥飞科技有限公司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曹文斌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江西奥飞科技有限公司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江西厚宏教育咨询有限公司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晏丽娟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JXGCYW2019-0249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涂智刚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徐员员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JXGCYW2019-0259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江西珉轩智能科技有限公司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柯尊勇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江西雅科实业有限公司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江西雅科实业有限公司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余杨阳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江西雅科实业有限公司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江西雅科实业有限公司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江西雅科实业有限公司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江西雅科实业有限公司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江西雅科实业有限公司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蔡娟花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江西雅科实业有限公司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吉安市天力实业有限公司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欧阳海宁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JXGCYW2019-0269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吉安市天力实业有限公司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邱灵龙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JXGCYW2019-0270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吉安市天力实业有限公司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龙子航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JXGCYW2019-0271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江西省赣信信息系统工程评估鉴定有限公司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吴惠惠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JXGCYW2019-0272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江西省赣信信息系统工程评估鉴定有限公司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黄津津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JXGCYW2019-0273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江西省赣信信息系统工程评估鉴定有限公司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JXGCYW2019-0274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江西省赣信信息系统工程评估鉴定有限公司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朱有亮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JXGCYW2019-0275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江西省赣信信息系统工程评估鉴定有限公司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JXGCYW2019-0276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江西省赣信信息系统工程评估鉴定有限公司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魏斯文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JXGCYW2019-0277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江西省赣信信息系统工程评估鉴定有限公司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崔荣怀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JXGCYW2019-0278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江西省赣信信息系统工程评估鉴定有限公司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朱卫宏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JXGCYW2019-0279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简菊平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赖文俊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黎勤英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廖雪群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JXGCYW2019-0287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JXGCYW2019-0289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JXGCYW2019-0290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新余市中保比讯保安服务有限公司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肖红娟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JXGCYW2019-0291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南昌思创企管策划有限公司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JXGCYW2019-0292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南昌思创企管策划有限公司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JXGCYW2019-0293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南昌思创企管策划有限公司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JXGCYW2019-0294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</w:rPr>
        <w:sectPr>
          <w:pgSz w:w="11906" w:h="16838"/>
          <w:pgMar w:top="1440" w:right="426" w:bottom="1440" w:left="98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黑体" w:hAnsi="宋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84ED80-4220-4589-8DA0-5C03501F24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锐字工房云字库锐宋粗GBK">
    <w:panose1 w:val="02010604000000000000"/>
    <w:charset w:val="86"/>
    <w:family w:val="auto"/>
    <w:pitch w:val="default"/>
    <w:sig w:usb0="00000000" w:usb1="00000000" w:usb2="00000000" w:usb3="00000000" w:csb0="00000000" w:csb1="00000000"/>
    <w:embedRegular r:id="rId2" w:fontKey="{BBD22DDA-E507-4844-B4ED-03D1BF9C4CC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3F509F5-36C6-42E7-99AA-45BFF4162E4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044CE"/>
    <w:rsid w:val="03170654"/>
    <w:rsid w:val="06C01AA6"/>
    <w:rsid w:val="08E22633"/>
    <w:rsid w:val="0DF261BE"/>
    <w:rsid w:val="11441A7A"/>
    <w:rsid w:val="12264AB9"/>
    <w:rsid w:val="1A181AFC"/>
    <w:rsid w:val="1A6044CE"/>
    <w:rsid w:val="1FDA2CB2"/>
    <w:rsid w:val="266D7598"/>
    <w:rsid w:val="290E7CEF"/>
    <w:rsid w:val="2AF5050A"/>
    <w:rsid w:val="4A3E123D"/>
    <w:rsid w:val="4CBE696E"/>
    <w:rsid w:val="4EBF318B"/>
    <w:rsid w:val="546173F9"/>
    <w:rsid w:val="5BB50B56"/>
    <w:rsid w:val="5C9610D4"/>
    <w:rsid w:val="5C9D19FA"/>
    <w:rsid w:val="5DA571AB"/>
    <w:rsid w:val="63700BD8"/>
    <w:rsid w:val="67883E2A"/>
    <w:rsid w:val="718E5898"/>
    <w:rsid w:val="7D2215A4"/>
    <w:rsid w:val="7E697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2017-11-16T02:37:00Z</dcterms:created>
  <dc:creator>Administrator</dc:creator>
  <cp:lastModifiedBy>菩提树</cp:lastModifiedBy>
  <dcterms:modified xsi:type="dcterms:W3CDTF">2019-11-12T02:02:59Z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